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3317 SE 23rd St Des Moines </w:t>
            </w:r>
          </w:p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>Iowa 50320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sz w:val="28"/>
                <w:szCs w:val="28"/>
              </w:rPr>
              <w:t>Glenn T. Norton</w:t>
            </w:r>
          </w:p>
          <w:p w:rsidR="00614B97" w:rsidRDefault="00614B97">
            <w:pPr>
              <w:spacing w:line="240" w:lineRule="auto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right"/>
            </w:pPr>
            <w:hyperlink r:id="rId5">
              <w:r>
                <w:rPr>
                  <w:rFonts w:ascii="Open Sans" w:hAnsi="Open Sans" w:cs="Open Sans"/>
                  <w:color w:val="1155CC"/>
                  <w:sz w:val="18"/>
                  <w:szCs w:val="18"/>
                  <w:u w:val="single"/>
                </w:rPr>
                <w:t>glenntnorton@gmail.com</w:t>
              </w:r>
            </w:hyperlink>
          </w:p>
          <w:p w:rsidR="00614B97" w:rsidRDefault="00614B97">
            <w:pPr>
              <w:spacing w:line="240" w:lineRule="auto"/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>+1-515-423-3955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Employment</w:t>
            </w:r>
          </w:p>
          <w:p w:rsidR="00614B97" w:rsidRDefault="00614B97">
            <w:pPr>
              <w:pBdr>
                <w:top w:val="single" w:sz="4" w:space="1" w:color="auto"/>
              </w:pBdr>
            </w:pP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75"/>
        <w:gridCol w:w="3180"/>
        <w:gridCol w:w="3105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>Systems Application Developer</w:t>
            </w:r>
          </w:p>
          <w:p w:rsidR="00614B97" w:rsidRDefault="00614B97">
            <w:pPr>
              <w:spacing w:line="240" w:lineRule="auto"/>
            </w:pP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sz w:val="18"/>
                <w:szCs w:val="18"/>
              </w:rPr>
              <w:t>Fisher Valves/Emerson Process Mgmt.</w:t>
            </w:r>
          </w:p>
          <w:p w:rsidR="00614B97" w:rsidRDefault="00614B97">
            <w:pPr>
              <w:spacing w:line="240" w:lineRule="auto"/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>April 2011 - Present</w:t>
            </w: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4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Began developing major applications during first week of initial employment.</w:t>
            </w:r>
          </w:p>
          <w:p w:rsidR="00614B97" w:rsidRDefault="00614B97">
            <w:pPr>
              <w:numPr>
                <w:ilvl w:val="0"/>
                <w:numId w:val="4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Work with a fast pace global team developing applications to mainstream business needs between corporate offices and factory floors.  </w:t>
            </w:r>
          </w:p>
          <w:p w:rsidR="00614B97" w:rsidRDefault="00614B97">
            <w:pPr>
              <w:numPr>
                <w:ilvl w:val="0"/>
                <w:numId w:val="4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Used PHP, jQuery and Oracle to create a web-based Certified Material Test Report increasing the efficiency of factory floor controllers.</w:t>
            </w:r>
          </w:p>
          <w:p w:rsidR="00614B97" w:rsidRDefault="00614B97">
            <w:pPr>
              <w:numPr>
                <w:ilvl w:val="0"/>
                <w:numId w:val="4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Developed a new Non-Destructive Examination (NDE) web framework that includes a proprietary English/French Translation Engine to benefit European offices in simplifying testing of Liquid Penetrant and Magnetic Particle requirements.</w:t>
            </w:r>
          </w:p>
          <w:p w:rsidR="00614B97" w:rsidRDefault="00614B97">
            <w:pPr>
              <w:numPr>
                <w:ilvl w:val="0"/>
                <w:numId w:val="4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Utilized refactoring and optimization skills to update multiple legacy applications to ensure long-term stability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>Independant Consultant and Contractor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sz w:val="18"/>
                <w:szCs w:val="18"/>
              </w:rPr>
              <w:t>Year47 Software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>October 2010 - Present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3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Developed Open-Source security tools to benefit small business owners on a limited budget</w:t>
            </w:r>
          </w:p>
          <w:p w:rsidR="00614B97" w:rsidRDefault="00614B97">
            <w:pPr>
              <w:numPr>
                <w:ilvl w:val="0"/>
                <w:numId w:val="3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Optimized Operating System scanning and resolution</w:t>
            </w:r>
          </w:p>
          <w:p w:rsidR="00614B97" w:rsidRDefault="00614B97">
            <w:pPr>
              <w:numPr>
                <w:ilvl w:val="0"/>
                <w:numId w:val="3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Created batch tools for Server assessment and correction</w:t>
            </w:r>
          </w:p>
          <w:p w:rsidR="00614B97" w:rsidRDefault="00614B97">
            <w:pPr>
              <w:numPr>
                <w:ilvl w:val="0"/>
                <w:numId w:val="3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The development of libraries to further automate the existence of SQL, LDAP and HTTP header injections. Stored, reflected, and Dom-based Cross-Site Scripting (XSS).</w:t>
            </w:r>
          </w:p>
          <w:p w:rsidR="00614B97" w:rsidRDefault="00614B97">
            <w:pPr>
              <w:numPr>
                <w:ilvl w:val="0"/>
                <w:numId w:val="3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Report parsing and automation to assist in eliminating false positives for External, Internal and Desktop Risk Assessment reports</w:t>
            </w: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3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000"/>
        <w:gridCol w:w="3240"/>
        <w:gridCol w:w="309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>Director of Development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sz w:val="18"/>
                <w:szCs w:val="18"/>
              </w:rPr>
              <w:t>Iowa Interactive, LLC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>June 2008 - October 2010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Submitted quarterly Sarbanes-Oxley (SOX) reports to the corporate office containing user login history, current firewalls rules and application production releases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Assured open software license compliance required by the state of Iowa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Brought the portal into Verizon CyberTrust compliance within first six weeks of employment and maintained that compliance for two plus years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Reviewed all developer supplied functional specifications and timelines and worked with project managers to modify if needed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Developer team annual reviews along with monthly code reviews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Maintained various legacy applications and updated as needed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Reviewed and approved all production releases</w:t>
            </w:r>
          </w:p>
          <w:p w:rsidR="00614B97" w:rsidRDefault="00614B97">
            <w:pPr>
              <w:numPr>
                <w:ilvl w:val="0"/>
                <w:numId w:val="2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Annual portal budgets and technology plans</w:t>
            </w: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Education</w:t>
            </w:r>
          </w:p>
          <w:p w:rsidR="00614B97" w:rsidRDefault="00614B97">
            <w:pPr>
              <w:pBdr>
                <w:top w:val="single" w:sz="4" w:space="1" w:color="auto"/>
              </w:pBdr>
            </w:pP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20"/>
        <w:gridCol w:w="312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sz w:val="18"/>
                <w:szCs w:val="18"/>
              </w:rPr>
              <w:t>Lincoln, Nebraska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sz w:val="18"/>
                <w:szCs w:val="18"/>
              </w:rPr>
              <w:t>Southeast Community College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right"/>
            </w:pPr>
            <w:r>
              <w:rPr>
                <w:rFonts w:ascii="Open Sans" w:hAnsi="Open Sans" w:cs="Open Sans"/>
                <w:sz w:val="18"/>
                <w:szCs w:val="18"/>
              </w:rPr>
              <w:t>January 2002 - December 2003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Microcomputer Programmer A.A.S</w:t>
            </w:r>
          </w:p>
          <w:p w:rsidR="00614B97" w:rsidRDefault="00614B97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Graduated December 2003 with Distinction</w:t>
            </w:r>
          </w:p>
          <w:p w:rsidR="00614B97" w:rsidRDefault="00614B97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Major GPA 4.0 on a 4.0 scale</w:t>
            </w:r>
          </w:p>
          <w:p w:rsidR="00614B97" w:rsidRDefault="00614B97">
            <w:pPr>
              <w:numPr>
                <w:ilvl w:val="0"/>
                <w:numId w:val="1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Overall GPA 3.92 on a 4.0 scale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Languages and Technologies</w:t>
            </w:r>
          </w:p>
          <w:p w:rsidR="00614B97" w:rsidRDefault="00614B97">
            <w:pPr>
              <w:pBdr>
                <w:top w:val="single" w:sz="4" w:space="1" w:color="auto"/>
              </w:pBdr>
            </w:pP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Programming Languages: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Python, PHP, Perl, Java, C/C++, Ruby</w:t>
            </w:r>
          </w:p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Markup/Client-Side Languages: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Javascript, jQuery, HTML, CSS</w:t>
            </w:r>
          </w:p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Databases: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Oracle, MySQL, SQLite, CouchDB, MongoDB, PostgreSQL</w:t>
            </w:r>
          </w:p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Development Environments: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Eclipse, NetBeans, ViM, eMacs</w:t>
            </w:r>
          </w:p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Source Code Management: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Git, GitHub, Subversion, Tortoise SVN, CVS</w:t>
            </w:r>
          </w:p>
          <w:p w:rsidR="00614B97" w:rsidRDefault="00614B97">
            <w:pPr>
              <w:numPr>
                <w:ilvl w:val="0"/>
                <w:numId w:val="5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  <w:u w:val="single"/>
              </w:rPr>
              <w:t>Methodologies/Practices: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OOP, Agile, SCRUM, Extreme Programming,  SDLC</w:t>
            </w: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Online Resources</w:t>
            </w:r>
          </w:p>
          <w:p w:rsidR="00614B97" w:rsidRDefault="00614B97">
            <w:pPr>
              <w:pBdr>
                <w:top w:val="single" w:sz="4" w:space="1" w:color="auto"/>
              </w:pBdr>
            </w:pPr>
          </w:p>
          <w:p w:rsidR="00614B97" w:rsidRDefault="00614B97">
            <w:pPr>
              <w:spacing w:line="240" w:lineRule="auto"/>
            </w:pPr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numPr>
                <w:ilvl w:val="0"/>
                <w:numId w:val="6"/>
              </w:numPr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Online Resume:</w:t>
            </w:r>
            <w:hyperlink r:id="rId6">
              <w:r>
                <w:rPr>
                  <w:rFonts w:ascii="Open Sans" w:hAnsi="Open Sans" w:cs="Open Sans"/>
                  <w:sz w:val="18"/>
                  <w:szCs w:val="18"/>
                </w:rPr>
                <w:t xml:space="preserve"> </w:t>
              </w:r>
            </w:hyperlink>
            <w:hyperlink r:id="rId7">
              <w:r>
                <w:rPr>
                  <w:rFonts w:ascii="Open Sans" w:hAnsi="Open Sans" w:cs="Open Sans"/>
                  <w:color w:val="0000FF"/>
                  <w:sz w:val="18"/>
                  <w:szCs w:val="18"/>
                  <w:u w:val="single"/>
                </w:rPr>
                <w:t>www.glenntnorton.info</w:t>
              </w:r>
            </w:hyperlink>
          </w:p>
          <w:p w:rsidR="00614B97" w:rsidRDefault="00614B97">
            <w:pPr>
              <w:numPr>
                <w:ilvl w:val="0"/>
                <w:numId w:val="6"/>
              </w:numPr>
              <w:spacing w:line="240" w:lineRule="auto"/>
              <w:ind w:hanging="359"/>
            </w:pPr>
            <w:r>
              <w:rPr>
                <w:rFonts w:ascii="Open Sans" w:hAnsi="Open Sans" w:cs="Open Sans"/>
                <w:sz w:val="18"/>
                <w:szCs w:val="18"/>
              </w:rPr>
              <w:t>GitHub Online Source Repository:</w:t>
            </w:r>
            <w:hyperlink r:id="rId8">
              <w:r>
                <w:rPr>
                  <w:rFonts w:ascii="Open Sans" w:hAnsi="Open Sans" w:cs="Open Sans"/>
                  <w:sz w:val="18"/>
                  <w:szCs w:val="18"/>
                </w:rPr>
                <w:t xml:space="preserve"> </w:t>
              </w:r>
            </w:hyperlink>
            <w:hyperlink r:id="rId9">
              <w:r>
                <w:rPr>
                  <w:rFonts w:ascii="Open Sans" w:hAnsi="Open Sans" w:cs="Open Sans"/>
                  <w:color w:val="0000FF"/>
                  <w:sz w:val="18"/>
                  <w:szCs w:val="18"/>
                  <w:u w:val="single"/>
                </w:rPr>
                <w:t>https://github.com/glenntnorton</w:t>
              </w:r>
            </w:hyperlink>
          </w:p>
        </w:tc>
      </w:tr>
    </w:tbl>
    <w:p w:rsidR="00614B97" w:rsidRDefault="00614B97"/>
    <w:tbl>
      <w:tblPr>
        <w:tblW w:w="936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60"/>
      </w:tblGrid>
      <w:tr w:rsidR="00614B97">
        <w:tblPrEx>
          <w:tblCellMar>
            <w:top w:w="0" w:type="dxa"/>
            <w:bottom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97" w:rsidRDefault="00614B97">
            <w:pPr>
              <w:spacing w:line="240" w:lineRule="auto"/>
              <w:jc w:val="center"/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Additional Employment History, skills and references available upon request</w:t>
            </w:r>
          </w:p>
        </w:tc>
      </w:tr>
    </w:tbl>
    <w:p w:rsidR="00614B97" w:rsidRDefault="00614B97"/>
    <w:sectPr w:rsidR="00614B97" w:rsidSect="004746F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9A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">
    <w:nsid w:val="455475A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2">
    <w:nsid w:val="4B8B5D9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3">
    <w:nsid w:val="6B46204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4">
    <w:nsid w:val="70262A2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5">
    <w:nsid w:val="7DAB50E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 Sans" w:eastAsia="Times New Roman" w:hAnsi="Open Sans"/>
        <w:b w:val="0"/>
        <w:bCs w:val="0"/>
        <w:i w:val="0"/>
        <w:iCs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6F6"/>
    <w:rsid w:val="004746F6"/>
    <w:rsid w:val="005C61E1"/>
    <w:rsid w:val="00614B97"/>
    <w:rsid w:val="00AB6A39"/>
    <w:rsid w:val="00C6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F6"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6F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6F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46F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46F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46F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46F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F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F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F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F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F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F9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4746F6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71AF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46F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71AF9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lenntnor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enntnort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nntnorton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lenntnorto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glenntno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with tables.docx</dc:title>
  <dc:subject/>
  <dc:creator/>
  <cp:keywords/>
  <dc:description/>
  <cp:lastModifiedBy>glen</cp:lastModifiedBy>
  <cp:revision>2</cp:revision>
  <dcterms:created xsi:type="dcterms:W3CDTF">2013-04-08T03:39:00Z</dcterms:created>
  <dcterms:modified xsi:type="dcterms:W3CDTF">2013-04-08T03:39:00Z</dcterms:modified>
</cp:coreProperties>
</file>